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65" w:rsidRDefault="00DA2565" w:rsidP="00DA2565">
      <w:pPr>
        <w:shd w:val="clear" w:color="auto" w:fill="FFFFFF"/>
        <w:spacing w:after="0" w:line="240" w:lineRule="auto"/>
        <w:jc w:val="center"/>
        <w:rPr>
          <w:rFonts w:ascii="Verdana" w:eastAsia="Times New Roman" w:hAnsi="Verdana" w:cs="Times New Roman"/>
          <w:b/>
          <w:bCs/>
          <w:sz w:val="26"/>
          <w:szCs w:val="26"/>
          <w:lang w:eastAsia="ro-RO"/>
        </w:rPr>
      </w:pPr>
    </w:p>
    <w:p w:rsidR="00DA2565" w:rsidRDefault="00DA2565" w:rsidP="00DA2565">
      <w:pPr>
        <w:shd w:val="clear" w:color="auto" w:fill="FFFFFF"/>
        <w:spacing w:after="0" w:line="240" w:lineRule="auto"/>
        <w:jc w:val="center"/>
        <w:rPr>
          <w:rFonts w:ascii="Verdana" w:eastAsia="Times New Roman" w:hAnsi="Verdana" w:cs="Times New Roman"/>
          <w:b/>
          <w:bCs/>
          <w:sz w:val="26"/>
          <w:szCs w:val="26"/>
          <w:lang w:eastAsia="ro-RO"/>
        </w:rPr>
      </w:pPr>
      <w:r w:rsidRPr="00DA2565">
        <w:rPr>
          <w:rFonts w:ascii="Verdana" w:eastAsia="Times New Roman" w:hAnsi="Verdana" w:cs="Times New Roman"/>
          <w:b/>
          <w:bCs/>
          <w:sz w:val="26"/>
          <w:szCs w:val="26"/>
          <w:lang w:eastAsia="ro-RO"/>
        </w:rPr>
        <w:t xml:space="preserve">LEGE nr. 223 din 30 octombrie 2020 </w:t>
      </w:r>
    </w:p>
    <w:p w:rsidR="00DA2565" w:rsidRDefault="00DA2565" w:rsidP="00DA2565">
      <w:pPr>
        <w:shd w:val="clear" w:color="auto" w:fill="FFFFFF"/>
        <w:spacing w:after="0" w:line="240" w:lineRule="auto"/>
        <w:jc w:val="center"/>
        <w:rPr>
          <w:rFonts w:ascii="Verdana" w:eastAsia="Times New Roman" w:hAnsi="Verdana" w:cs="Times New Roman"/>
          <w:b/>
          <w:bCs/>
          <w:sz w:val="26"/>
          <w:szCs w:val="26"/>
          <w:lang w:eastAsia="ro-RO"/>
        </w:rPr>
      </w:pPr>
      <w:r w:rsidRPr="00DA2565">
        <w:rPr>
          <w:rFonts w:ascii="Verdana" w:eastAsia="Times New Roman" w:hAnsi="Verdana" w:cs="Times New Roman"/>
          <w:b/>
          <w:bCs/>
          <w:sz w:val="26"/>
          <w:szCs w:val="26"/>
          <w:lang w:eastAsia="ro-RO"/>
        </w:rPr>
        <w:t xml:space="preserve">pentru simplificarea şi debirocratizarea transferului de părţi sociale şi a vărsării capitalului social prin modificarea Legii societăţilor nr. </w:t>
      </w:r>
      <w:hyperlink r:id="rId5" w:history="1">
        <w:r w:rsidRPr="00DA2565">
          <w:rPr>
            <w:rFonts w:ascii="Verdana" w:eastAsia="Times New Roman" w:hAnsi="Verdana" w:cs="Times New Roman"/>
            <w:b/>
            <w:bCs/>
            <w:color w:val="333399"/>
            <w:sz w:val="26"/>
            <w:szCs w:val="26"/>
            <w:u w:val="single"/>
            <w:lang w:eastAsia="ro-RO"/>
          </w:rPr>
          <w:t>31/1990</w:t>
        </w:r>
      </w:hyperlink>
    </w:p>
    <w:p w:rsidR="00DA2565" w:rsidRDefault="00DA2565" w:rsidP="00DA2565">
      <w:pPr>
        <w:shd w:val="clear" w:color="auto" w:fill="FFFFFF"/>
        <w:spacing w:after="0" w:line="240" w:lineRule="auto"/>
        <w:jc w:val="center"/>
        <w:rPr>
          <w:rFonts w:ascii="Verdana" w:eastAsia="Times New Roman" w:hAnsi="Verdana" w:cs="Times New Roman"/>
          <w:b/>
          <w:bCs/>
          <w:sz w:val="26"/>
          <w:szCs w:val="26"/>
          <w:lang w:eastAsia="ro-RO"/>
        </w:rPr>
      </w:pPr>
    </w:p>
    <w:p w:rsidR="00DA2565" w:rsidRPr="00DA2565" w:rsidRDefault="00DA2565" w:rsidP="00DA2565">
      <w:pPr>
        <w:shd w:val="clear" w:color="auto" w:fill="FFFFFF"/>
        <w:spacing w:after="0" w:line="240" w:lineRule="auto"/>
        <w:jc w:val="center"/>
        <w:rPr>
          <w:rFonts w:ascii="Verdana" w:eastAsia="Times New Roman" w:hAnsi="Verdana" w:cs="Times New Roman"/>
          <w:lang w:eastAsia="ro-RO"/>
        </w:rPr>
      </w:pPr>
    </w:p>
    <w:p w:rsidR="00DA2565" w:rsidRDefault="00DA2565" w:rsidP="00DA2565">
      <w:pPr>
        <w:shd w:val="clear" w:color="auto" w:fill="FFFFFF"/>
        <w:spacing w:after="0" w:line="240" w:lineRule="auto"/>
        <w:jc w:val="both"/>
        <w:rPr>
          <w:rFonts w:ascii="Verdana" w:eastAsia="Times New Roman" w:hAnsi="Verdana" w:cs="Times New Roman"/>
          <w:lang w:eastAsia="ro-RO"/>
        </w:rPr>
      </w:pPr>
      <w:bookmarkStart w:id="0" w:name="do|pa1"/>
      <w:bookmarkEnd w:id="0"/>
      <w:r w:rsidRPr="00DA2565">
        <w:rPr>
          <w:rFonts w:ascii="Verdana" w:eastAsia="Times New Roman" w:hAnsi="Verdana" w:cs="Times New Roman"/>
          <w:b/>
          <w:bCs/>
          <w:lang w:eastAsia="ro-RO"/>
        </w:rPr>
        <w:t>Parlamentul României</w:t>
      </w:r>
      <w:r w:rsidRPr="00DA2565">
        <w:rPr>
          <w:rFonts w:ascii="Verdana" w:eastAsia="Times New Roman" w:hAnsi="Verdana" w:cs="Times New Roman"/>
          <w:lang w:eastAsia="ro-RO"/>
        </w:rPr>
        <w:t xml:space="preserve"> adoptă prezenta lege.</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0000AF"/>
          <w:lang w:eastAsia="ro-RO"/>
        </w:rPr>
        <w:t>Art. I</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 w:name="do|arI|pa1"/>
      <w:bookmarkEnd w:id="1"/>
      <w:r w:rsidRPr="00DA2565">
        <w:rPr>
          <w:rFonts w:ascii="Verdana" w:eastAsia="Times New Roman" w:hAnsi="Verdana" w:cs="Times New Roman"/>
          <w:lang w:eastAsia="ro-RO"/>
        </w:rPr>
        <w:t xml:space="preserve">Legea societăţilor nr. </w:t>
      </w:r>
      <w:hyperlink r:id="rId6" w:history="1">
        <w:r w:rsidRPr="00DA2565">
          <w:rPr>
            <w:rFonts w:ascii="Verdana" w:eastAsia="Times New Roman" w:hAnsi="Verdana" w:cs="Times New Roman"/>
            <w:b/>
            <w:bCs/>
            <w:color w:val="333399"/>
            <w:u w:val="single"/>
            <w:lang w:eastAsia="ro-RO"/>
          </w:rPr>
          <w:t>31/1990</w:t>
        </w:r>
      </w:hyperlink>
      <w:r w:rsidRPr="00DA2565">
        <w:rPr>
          <w:rFonts w:ascii="Verdana" w:eastAsia="Times New Roman" w:hAnsi="Verdana" w:cs="Times New Roman"/>
          <w:lang w:eastAsia="ro-RO"/>
        </w:rPr>
        <w:t>, republicată în Monitorul Oficial al României, Partea I, nr. 1.066 din 17 noiembrie 2004, cu modificările şi completările ulterioare, se modifică după cum urmează:</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1.</w:t>
      </w:r>
      <w:r w:rsidRPr="00DA2565">
        <w:rPr>
          <w:rFonts w:ascii="Verdana" w:eastAsia="Times New Roman" w:hAnsi="Verdana" w:cs="Times New Roman"/>
          <w:lang w:eastAsia="ro-RO"/>
        </w:rPr>
        <w:t>La articolul 11, alineatul (1)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2" w:name="do|arI|pt1|pa1"/>
      <w:bookmarkEnd w:id="2"/>
      <w:r w:rsidRPr="00DA2565">
        <w:rPr>
          <w:rFonts w:ascii="Verdana" w:eastAsia="Times New Roman" w:hAnsi="Verdana" w:cs="Times New Roman"/>
          <w:lang w:eastAsia="ro-RO"/>
        </w:rPr>
        <w:t>"Art. 11</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3" w:name="do|arI|pt1|pa2"/>
      <w:bookmarkEnd w:id="3"/>
      <w:r w:rsidRPr="00DA2565">
        <w:rPr>
          <w:rFonts w:ascii="Verdana" w:eastAsia="Times New Roman" w:hAnsi="Verdana" w:cs="Times New Roman"/>
          <w:lang w:eastAsia="ro-RO"/>
        </w:rPr>
        <w:t>(1) Capitalul social al unei societăţi cu răspundere limitată se divide în părţi sociale egale."</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2.</w:t>
      </w:r>
      <w:r w:rsidRPr="00DA2565">
        <w:rPr>
          <w:rFonts w:ascii="Verdana" w:eastAsia="Times New Roman" w:hAnsi="Verdana" w:cs="Times New Roman"/>
          <w:lang w:eastAsia="ro-RO"/>
        </w:rPr>
        <w:t>La articolul 17, alineatul (3)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4" w:name="do|arI|pt2|pa1"/>
      <w:bookmarkEnd w:id="4"/>
      <w:r w:rsidRPr="00DA2565">
        <w:rPr>
          <w:rFonts w:ascii="Verdana" w:eastAsia="Times New Roman" w:hAnsi="Verdana" w:cs="Times New Roman"/>
          <w:lang w:eastAsia="ro-RO"/>
        </w:rPr>
        <w:t>"(3) La înmatricularea societăţii şi la schimbarea sediului social se va prezenta la sediul oficiului registrului comerţului documentul care atestă dreptul de folosinţă asupra spaţiului cu destinaţie de sediu social. După înregistrarea în registrul comerţului, oficiul registrului comerţului transmite documentul care atestă dreptul de folosinţă asupra spaţiului cu destinaţie de sediu social la organul fiscal din cadrul Agenţiei Naţionale de Administrare Fiscală în a cărui circumscripţie se situează imobilul cu destinaţie de sediu social."</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3.</w:t>
      </w:r>
      <w:r w:rsidRPr="00DA2565">
        <w:rPr>
          <w:rFonts w:ascii="Verdana" w:eastAsia="Times New Roman" w:hAnsi="Verdana" w:cs="Times New Roman"/>
          <w:lang w:eastAsia="ro-RO"/>
        </w:rPr>
        <w:t>La articolul 36 alineatul (2), litera b)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5" w:name="do|arI|pt3|pa1"/>
      <w:bookmarkEnd w:id="5"/>
      <w:r w:rsidRPr="00DA2565">
        <w:rPr>
          <w:rFonts w:ascii="Verdana" w:eastAsia="Times New Roman" w:hAnsi="Verdana" w:cs="Times New Roman"/>
          <w:lang w:eastAsia="ro-RO"/>
        </w:rPr>
        <w:t>"b) dovada efectuării vărsămintelor în condiţiile actului constitutiv, cu excepţia societăţilor cu răspundere limitată;"</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4.</w:t>
      </w:r>
      <w:r w:rsidRPr="00DA2565">
        <w:rPr>
          <w:rFonts w:ascii="Verdana" w:eastAsia="Times New Roman" w:hAnsi="Verdana" w:cs="Times New Roman"/>
          <w:lang w:eastAsia="ro-RO"/>
        </w:rPr>
        <w:t>La articolul 61, alineatul (1)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6" w:name="do|arI|pt4|pa1"/>
      <w:bookmarkEnd w:id="6"/>
      <w:r w:rsidRPr="00DA2565">
        <w:rPr>
          <w:rFonts w:ascii="Verdana" w:eastAsia="Times New Roman" w:hAnsi="Verdana" w:cs="Times New Roman"/>
          <w:lang w:eastAsia="ro-RO"/>
        </w:rPr>
        <w:t>"Art. 61</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7" w:name="do|arI|pt4|pa2"/>
      <w:bookmarkEnd w:id="7"/>
      <w:r w:rsidRPr="00DA2565">
        <w:rPr>
          <w:rFonts w:ascii="Verdana" w:eastAsia="Times New Roman" w:hAnsi="Verdana" w:cs="Times New Roman"/>
          <w:lang w:eastAsia="ro-RO"/>
        </w:rPr>
        <w:t>(1) Creditorii sociali şi orice alte persoane prejudiciate prin hotărârile asociaţilor privitoare la modificarea actului constitutiv pot formula o cerere de opoziţie prin care să solicite instanţei judecătoreşti să oblige, după caz, societatea sau asociaţii la repararea prejudiciului cauzat."</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5.</w:t>
      </w:r>
      <w:r w:rsidRPr="00DA2565">
        <w:rPr>
          <w:rFonts w:ascii="Verdana" w:eastAsia="Times New Roman" w:hAnsi="Verdana" w:cs="Times New Roman"/>
          <w:lang w:eastAsia="ro-RO"/>
        </w:rPr>
        <w:t>La articolul 62, alineatul (2)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8" w:name="do|arI|pt5|pa1"/>
      <w:bookmarkEnd w:id="8"/>
      <w:r w:rsidRPr="00DA2565">
        <w:rPr>
          <w:rFonts w:ascii="Verdana" w:eastAsia="Times New Roman" w:hAnsi="Verdana" w:cs="Times New Roman"/>
          <w:lang w:eastAsia="ro-RO"/>
        </w:rPr>
        <w:t xml:space="preserve">"(2) Opoziţia se judecă în camera de consiliu, cu citarea părţilor, fiind aplicabile dispoziţiile art. 202 din </w:t>
      </w:r>
      <w:hyperlink r:id="rId7" w:history="1">
        <w:r w:rsidRPr="00DA2565">
          <w:rPr>
            <w:rFonts w:ascii="Verdana" w:eastAsia="Times New Roman" w:hAnsi="Verdana" w:cs="Times New Roman"/>
            <w:b/>
            <w:bCs/>
            <w:color w:val="333399"/>
            <w:u w:val="single"/>
            <w:lang w:eastAsia="ro-RO"/>
          </w:rPr>
          <w:t>Codul de procedură civilă</w:t>
        </w:r>
      </w:hyperlink>
      <w:r w:rsidRPr="00DA2565">
        <w:rPr>
          <w:rFonts w:ascii="Verdana" w:eastAsia="Times New Roman" w:hAnsi="Verdana" w:cs="Times New Roman"/>
          <w:lang w:eastAsia="ro-RO"/>
        </w:rPr>
        <w:t>."</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6.</w:t>
      </w:r>
      <w:r w:rsidRPr="00DA2565">
        <w:rPr>
          <w:rFonts w:ascii="Verdana" w:eastAsia="Times New Roman" w:hAnsi="Verdana" w:cs="Times New Roman"/>
          <w:lang w:eastAsia="ro-RO"/>
        </w:rPr>
        <w:t>La articolul 185, alineatul (6)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9" w:name="do|arI|pt6|pa1"/>
      <w:bookmarkEnd w:id="9"/>
      <w:r w:rsidRPr="00DA2565">
        <w:rPr>
          <w:rFonts w:ascii="Verdana" w:eastAsia="Times New Roman" w:hAnsi="Verdana" w:cs="Times New Roman"/>
          <w:lang w:eastAsia="ro-RO"/>
        </w:rPr>
        <w:t>"(6) Ministerul Finanţelor Publice şi Oficiul Naţional al Registrului Comerţului vor încheia un protocol de colaborare, în vederea transmiterii, în format electronic, a copiilor şi informaţiilor prevăzute la alin. (3)."</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7.</w:t>
      </w:r>
      <w:r w:rsidRPr="00DA2565">
        <w:rPr>
          <w:rFonts w:ascii="Verdana" w:eastAsia="Times New Roman" w:hAnsi="Verdana" w:cs="Times New Roman"/>
          <w:lang w:eastAsia="ro-RO"/>
        </w:rPr>
        <w:t>La articolul 202, alineatul (2)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0" w:name="do|arI|pt7|pa1"/>
      <w:bookmarkEnd w:id="10"/>
      <w:r w:rsidRPr="00DA2565">
        <w:rPr>
          <w:rFonts w:ascii="Verdana" w:eastAsia="Times New Roman" w:hAnsi="Verdana" w:cs="Times New Roman"/>
          <w:lang w:eastAsia="ro-RO"/>
        </w:rPr>
        <w:t>"(2) Dacă actul constitutiv nu prevede altfel, transmiterea către persoane din afara societăţii este permisă numai dacă a fost aprobată de asociaţi reprezentând cel puţin trei pătrimi din capitalul social."</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1" w:name="do|arI|pt8"/>
      <w:bookmarkEnd w:id="11"/>
      <w:r w:rsidRPr="00DA2565">
        <w:rPr>
          <w:rFonts w:ascii="Verdana" w:eastAsia="Times New Roman" w:hAnsi="Verdana" w:cs="Times New Roman"/>
          <w:b/>
          <w:bCs/>
          <w:color w:val="8F0000"/>
          <w:lang w:eastAsia="ro-RO"/>
        </w:rPr>
        <w:t>8.</w:t>
      </w:r>
      <w:r w:rsidRPr="00DA2565">
        <w:rPr>
          <w:rFonts w:ascii="Verdana" w:eastAsia="Times New Roman" w:hAnsi="Verdana" w:cs="Times New Roman"/>
          <w:lang w:eastAsia="ro-RO"/>
        </w:rPr>
        <w:t>La articolul 202, alineatele (2</w:t>
      </w:r>
      <w:r w:rsidRPr="00DA2565">
        <w:rPr>
          <w:rFonts w:ascii="Verdana" w:eastAsia="Times New Roman" w:hAnsi="Verdana" w:cs="Times New Roman"/>
          <w:vertAlign w:val="superscript"/>
          <w:lang w:eastAsia="ro-RO"/>
        </w:rPr>
        <w:t>1</w:t>
      </w:r>
      <w:r w:rsidRPr="00DA2565">
        <w:rPr>
          <w:rFonts w:ascii="Verdana" w:eastAsia="Times New Roman" w:hAnsi="Verdana" w:cs="Times New Roman"/>
          <w:lang w:eastAsia="ro-RO"/>
        </w:rPr>
        <w:t>)-(2</w:t>
      </w:r>
      <w:r w:rsidRPr="00DA2565">
        <w:rPr>
          <w:rFonts w:ascii="Verdana" w:eastAsia="Times New Roman" w:hAnsi="Verdana" w:cs="Times New Roman"/>
          <w:vertAlign w:val="superscript"/>
          <w:lang w:eastAsia="ro-RO"/>
        </w:rPr>
        <w:t>4</w:t>
      </w:r>
      <w:r w:rsidRPr="00DA2565">
        <w:rPr>
          <w:rFonts w:ascii="Verdana" w:eastAsia="Times New Roman" w:hAnsi="Verdana" w:cs="Times New Roman"/>
          <w:lang w:eastAsia="ro-RO"/>
        </w:rPr>
        <w:t>) se abrogă.</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2" w:name="do|arI|pt9"/>
      <w:bookmarkEnd w:id="12"/>
      <w:r w:rsidRPr="00DA2565">
        <w:rPr>
          <w:rFonts w:ascii="Verdana" w:eastAsia="Times New Roman" w:hAnsi="Verdana" w:cs="Times New Roman"/>
          <w:b/>
          <w:bCs/>
          <w:color w:val="8F0000"/>
          <w:lang w:eastAsia="ro-RO"/>
        </w:rPr>
        <w:t>9.</w:t>
      </w:r>
      <w:r w:rsidRPr="00DA2565">
        <w:rPr>
          <w:rFonts w:ascii="Verdana" w:eastAsia="Times New Roman" w:hAnsi="Verdana" w:cs="Times New Roman"/>
          <w:lang w:eastAsia="ro-RO"/>
        </w:rPr>
        <w:t>La articolul 203, alineatul (3) se abrogă.</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8F0000"/>
          <w:lang w:eastAsia="ro-RO"/>
        </w:rPr>
        <w:t>10.</w:t>
      </w:r>
      <w:r w:rsidRPr="00DA2565">
        <w:rPr>
          <w:rFonts w:ascii="Verdana" w:eastAsia="Times New Roman" w:hAnsi="Verdana" w:cs="Times New Roman"/>
          <w:lang w:eastAsia="ro-RO"/>
        </w:rPr>
        <w:t>La articolul 204, alineatul (3) se modifică şi va avea următorul cuprins:</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3" w:name="do|arI|pt10|pa1"/>
      <w:bookmarkEnd w:id="13"/>
      <w:r w:rsidRPr="00DA2565">
        <w:rPr>
          <w:rFonts w:ascii="Verdana" w:eastAsia="Times New Roman" w:hAnsi="Verdana" w:cs="Times New Roman"/>
          <w:lang w:eastAsia="ro-RO"/>
        </w:rPr>
        <w:t>"(3) Dispoziţiile art. 17 alin. (1) se aplică şi în cazul schimbării denumirii."</w:t>
      </w:r>
    </w:p>
    <w:p w:rsidR="00DA2565" w:rsidRDefault="00DA2565" w:rsidP="00DA2565">
      <w:pPr>
        <w:shd w:val="clear" w:color="auto" w:fill="FFFFFF"/>
        <w:spacing w:after="0" w:line="240" w:lineRule="auto"/>
        <w:jc w:val="both"/>
        <w:rPr>
          <w:rFonts w:ascii="Verdana" w:eastAsia="Times New Roman" w:hAnsi="Verdana" w:cs="Times New Roman"/>
          <w:b/>
          <w:bCs/>
          <w:noProof/>
          <w:color w:val="333399"/>
          <w:lang w:eastAsia="ro-RO"/>
        </w:rPr>
      </w:pPr>
    </w:p>
    <w:p w:rsidR="00DA2565" w:rsidRDefault="00DA2565" w:rsidP="00DA2565">
      <w:pPr>
        <w:shd w:val="clear" w:color="auto" w:fill="FFFFFF"/>
        <w:spacing w:after="0" w:line="240" w:lineRule="auto"/>
        <w:jc w:val="both"/>
        <w:rPr>
          <w:rFonts w:ascii="Verdana" w:eastAsia="Times New Roman" w:hAnsi="Verdana" w:cs="Times New Roman"/>
          <w:b/>
          <w:bCs/>
          <w:noProof/>
          <w:color w:val="333399"/>
          <w:lang w:eastAsia="ro-RO"/>
        </w:rPr>
      </w:pP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0000AF"/>
          <w:lang w:eastAsia="ro-RO"/>
        </w:rPr>
        <w:t>Art. II</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4" w:name="do|arII|pa1"/>
      <w:bookmarkEnd w:id="14"/>
      <w:r w:rsidRPr="00DA2565">
        <w:rPr>
          <w:rFonts w:ascii="Verdana" w:eastAsia="Times New Roman" w:hAnsi="Verdana" w:cs="Times New Roman"/>
          <w:lang w:eastAsia="ro-RO"/>
        </w:rPr>
        <w:t xml:space="preserve">Se dispun actualizarea şi corelarea prevederilor Legii societăţilor nr. </w:t>
      </w:r>
      <w:hyperlink r:id="rId8" w:history="1">
        <w:r w:rsidRPr="00DA2565">
          <w:rPr>
            <w:rFonts w:ascii="Verdana" w:eastAsia="Times New Roman" w:hAnsi="Verdana" w:cs="Times New Roman"/>
            <w:b/>
            <w:bCs/>
            <w:color w:val="333399"/>
            <w:u w:val="single"/>
            <w:lang w:eastAsia="ro-RO"/>
          </w:rPr>
          <w:t>31/1990</w:t>
        </w:r>
      </w:hyperlink>
      <w:r w:rsidRPr="00DA2565">
        <w:rPr>
          <w:rFonts w:ascii="Verdana" w:eastAsia="Times New Roman" w:hAnsi="Verdana" w:cs="Times New Roman"/>
          <w:lang w:eastAsia="ro-RO"/>
        </w:rPr>
        <w:t xml:space="preserve">, republicată în Monitorul Oficial al României, Partea I, nr. 1.066 din 17 noiembrie 2004, cu modificările şi completările ulterioare, cu dispoziţiile Legii nr. </w:t>
      </w:r>
      <w:hyperlink r:id="rId9" w:history="1">
        <w:r w:rsidRPr="00DA2565">
          <w:rPr>
            <w:rFonts w:ascii="Verdana" w:eastAsia="Times New Roman" w:hAnsi="Verdana" w:cs="Times New Roman"/>
            <w:b/>
            <w:bCs/>
            <w:color w:val="333399"/>
            <w:u w:val="single"/>
            <w:lang w:eastAsia="ro-RO"/>
          </w:rPr>
          <w:t>134/2010</w:t>
        </w:r>
      </w:hyperlink>
      <w:r w:rsidRPr="00DA2565">
        <w:rPr>
          <w:rFonts w:ascii="Verdana" w:eastAsia="Times New Roman" w:hAnsi="Verdana" w:cs="Times New Roman"/>
          <w:lang w:eastAsia="ro-RO"/>
        </w:rPr>
        <w:t xml:space="preserve"> privind </w:t>
      </w:r>
      <w:hyperlink r:id="rId10" w:history="1">
        <w:r w:rsidRPr="00DA2565">
          <w:rPr>
            <w:rFonts w:ascii="Verdana" w:eastAsia="Times New Roman" w:hAnsi="Verdana" w:cs="Times New Roman"/>
            <w:b/>
            <w:bCs/>
            <w:color w:val="333399"/>
            <w:u w:val="single"/>
            <w:lang w:eastAsia="ro-RO"/>
          </w:rPr>
          <w:t>Codul de procedură civilă</w:t>
        </w:r>
      </w:hyperlink>
      <w:r w:rsidRPr="00DA2565">
        <w:rPr>
          <w:rFonts w:ascii="Verdana" w:eastAsia="Times New Roman" w:hAnsi="Verdana" w:cs="Times New Roman"/>
          <w:lang w:eastAsia="ro-RO"/>
        </w:rPr>
        <w:t>, republicată în Monitorul Oficial al României, Partea I, nr. 247 din 10 aprilie 2015, cu modificările ulterioare.</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r w:rsidRPr="00DA2565">
        <w:rPr>
          <w:rFonts w:ascii="Verdana" w:eastAsia="Times New Roman" w:hAnsi="Verdana" w:cs="Times New Roman"/>
          <w:b/>
          <w:bCs/>
          <w:color w:val="0000AF"/>
          <w:lang w:eastAsia="ro-RO"/>
        </w:rPr>
        <w:t>Art. III</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5" w:name="do|arIII|pa1"/>
      <w:bookmarkEnd w:id="15"/>
      <w:r w:rsidRPr="00DA2565">
        <w:rPr>
          <w:rFonts w:ascii="Verdana" w:eastAsia="Times New Roman" w:hAnsi="Verdana" w:cs="Times New Roman"/>
          <w:lang w:eastAsia="ro-RO"/>
        </w:rPr>
        <w:t xml:space="preserve">Legea societăţilor nr. </w:t>
      </w:r>
      <w:hyperlink r:id="rId11" w:tooltip="societăţilor - Republicare (act publicat in M.Of. 1066 din 17-noi-2004)" w:history="1">
        <w:r w:rsidRPr="00DA2565">
          <w:rPr>
            <w:rFonts w:ascii="Verdana" w:eastAsia="Times New Roman" w:hAnsi="Verdana" w:cs="Times New Roman"/>
            <w:b/>
            <w:bCs/>
            <w:color w:val="333399"/>
            <w:u w:val="single"/>
            <w:lang w:eastAsia="ro-RO"/>
          </w:rPr>
          <w:t>31/1990</w:t>
        </w:r>
      </w:hyperlink>
      <w:r w:rsidRPr="00DA2565">
        <w:rPr>
          <w:rFonts w:ascii="Verdana" w:eastAsia="Times New Roman" w:hAnsi="Verdana" w:cs="Times New Roman"/>
          <w:lang w:eastAsia="ro-RO"/>
        </w:rPr>
        <w:t>, republicată în Monitorul Oficial al României, Partea I, nr. 1.066 din 17 noiembrie 2004, cu modificările şi completările ulterioare, inclusiv cele aduse prin prezenta lege, se va republica în Monitorul Oficial al României, Partea I, dându-se textelor o nouă numerotare.</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6" w:name="do|pa2"/>
      <w:bookmarkEnd w:id="16"/>
      <w:r w:rsidRPr="00DA2565">
        <w:rPr>
          <w:rFonts w:ascii="Verdana" w:eastAsia="Times New Roman" w:hAnsi="Verdana" w:cs="Times New Roman"/>
          <w:lang w:eastAsia="ro-RO"/>
        </w:rPr>
        <w:t>-****-</w:t>
      </w:r>
    </w:p>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7" w:name="do|pa3"/>
      <w:bookmarkEnd w:id="17"/>
      <w:r w:rsidRPr="00DA2565">
        <w:rPr>
          <w:rFonts w:ascii="Verdana" w:eastAsia="Times New Roman" w:hAnsi="Verdana" w:cs="Times New Roman"/>
          <w:lang w:eastAsia="ro-RO"/>
        </w:rPr>
        <w:t xml:space="preserve">Această lege a fost adoptată de Parlamentul României, cu respectarea prevederilor art. 75 şi ale art. 76 alin. (2) din </w:t>
      </w:r>
      <w:hyperlink r:id="rId12" w:history="1">
        <w:r w:rsidRPr="00DA2565">
          <w:rPr>
            <w:rFonts w:ascii="Verdana" w:eastAsia="Times New Roman" w:hAnsi="Verdana" w:cs="Times New Roman"/>
            <w:b/>
            <w:bCs/>
            <w:color w:val="333399"/>
            <w:u w:val="single"/>
            <w:lang w:eastAsia="ro-RO"/>
          </w:rPr>
          <w:t>Constituţia României</w:t>
        </w:r>
      </w:hyperlink>
      <w:r w:rsidRPr="00DA2565">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A2565" w:rsidRPr="00DA2565" w:rsidTr="00DA2565">
        <w:trPr>
          <w:trHeight w:val="15"/>
          <w:tblCellSpacing w:w="0" w:type="dxa"/>
          <w:jc w:val="center"/>
        </w:trPr>
        <w:tc>
          <w:tcPr>
            <w:tcW w:w="0" w:type="auto"/>
            <w:hideMark/>
          </w:tcPr>
          <w:p w:rsidR="00DA2565" w:rsidRDefault="00DA2565" w:rsidP="00DA2565">
            <w:pPr>
              <w:spacing w:after="0" w:line="240" w:lineRule="auto"/>
              <w:jc w:val="center"/>
              <w:rPr>
                <w:rFonts w:ascii="Verdana" w:eastAsia="Times New Roman" w:hAnsi="Verdana" w:cs="Times New Roman"/>
                <w:color w:val="000000"/>
                <w:sz w:val="16"/>
                <w:szCs w:val="16"/>
                <w:lang w:eastAsia="ro-RO"/>
              </w:rPr>
            </w:pPr>
            <w:bookmarkStart w:id="18" w:name="do|pa4"/>
            <w:bookmarkEnd w:id="18"/>
          </w:p>
          <w:p w:rsidR="00DA2565" w:rsidRDefault="00DA2565" w:rsidP="00DA2565">
            <w:pPr>
              <w:spacing w:after="0" w:line="240" w:lineRule="auto"/>
              <w:jc w:val="center"/>
              <w:rPr>
                <w:rFonts w:ascii="Verdana" w:eastAsia="Times New Roman" w:hAnsi="Verdana" w:cs="Times New Roman"/>
                <w:color w:val="000000"/>
                <w:sz w:val="16"/>
                <w:szCs w:val="16"/>
                <w:lang w:eastAsia="ro-RO"/>
              </w:rPr>
            </w:pPr>
          </w:p>
          <w:p w:rsidR="00DA2565" w:rsidRPr="00DA2565" w:rsidRDefault="00DA2565" w:rsidP="00DA2565">
            <w:pPr>
              <w:spacing w:after="0" w:line="240" w:lineRule="auto"/>
              <w:jc w:val="center"/>
              <w:rPr>
                <w:rFonts w:ascii="Verdana" w:eastAsia="Times New Roman" w:hAnsi="Verdana" w:cs="Times New Roman"/>
                <w:color w:val="000000"/>
                <w:sz w:val="16"/>
                <w:szCs w:val="16"/>
                <w:lang w:eastAsia="ro-RO"/>
              </w:rPr>
            </w:pPr>
            <w:r w:rsidRPr="00DA2565">
              <w:rPr>
                <w:rFonts w:ascii="Verdana" w:eastAsia="Times New Roman" w:hAnsi="Verdana" w:cs="Times New Roman"/>
                <w:color w:val="000000"/>
                <w:sz w:val="16"/>
                <w:szCs w:val="16"/>
                <w:lang w:eastAsia="ro-RO"/>
              </w:rPr>
              <w:t>p. PREŞEDINTELE CAMEREI DEPUTAŢILOR,</w:t>
            </w:r>
          </w:p>
          <w:p w:rsidR="00DA2565" w:rsidRPr="00DA2565" w:rsidRDefault="00DA2565" w:rsidP="00DA2565">
            <w:pPr>
              <w:spacing w:after="0" w:line="240" w:lineRule="auto"/>
              <w:jc w:val="center"/>
              <w:rPr>
                <w:rFonts w:ascii="Verdana" w:eastAsia="Times New Roman" w:hAnsi="Verdana" w:cs="Times New Roman"/>
                <w:color w:val="000000"/>
                <w:sz w:val="16"/>
                <w:szCs w:val="16"/>
                <w:lang w:eastAsia="ro-RO"/>
              </w:rPr>
            </w:pPr>
            <w:r w:rsidRPr="00DA2565">
              <w:rPr>
                <w:rFonts w:ascii="Verdana" w:eastAsia="Times New Roman" w:hAnsi="Verdana" w:cs="Times New Roman"/>
                <w:b/>
                <w:bCs/>
                <w:color w:val="000000"/>
                <w:sz w:val="16"/>
                <w:szCs w:val="16"/>
                <w:lang w:eastAsia="ro-RO"/>
              </w:rPr>
              <w:t>FLORIN IORDACHE</w:t>
            </w:r>
          </w:p>
          <w:p w:rsidR="00DA2565" w:rsidRPr="00DA2565" w:rsidRDefault="00DA2565" w:rsidP="00DA2565">
            <w:pPr>
              <w:spacing w:after="0" w:line="240" w:lineRule="auto"/>
              <w:jc w:val="center"/>
              <w:rPr>
                <w:rFonts w:ascii="Verdana" w:eastAsia="Times New Roman" w:hAnsi="Verdana" w:cs="Times New Roman"/>
                <w:color w:val="000000"/>
                <w:sz w:val="16"/>
                <w:szCs w:val="16"/>
                <w:lang w:eastAsia="ro-RO"/>
              </w:rPr>
            </w:pPr>
            <w:r w:rsidRPr="00DA2565">
              <w:rPr>
                <w:rFonts w:ascii="Verdana" w:eastAsia="Times New Roman" w:hAnsi="Verdana" w:cs="Times New Roman"/>
                <w:color w:val="000000"/>
                <w:sz w:val="16"/>
                <w:szCs w:val="16"/>
                <w:lang w:eastAsia="ro-RO"/>
              </w:rPr>
              <w:t>p. PREŞEDINTELE SENATULUI,</w:t>
            </w:r>
          </w:p>
          <w:p w:rsidR="00DA2565" w:rsidRDefault="00DA2565" w:rsidP="00DA2565">
            <w:pPr>
              <w:spacing w:after="0" w:line="15" w:lineRule="atLeast"/>
              <w:jc w:val="center"/>
              <w:rPr>
                <w:rFonts w:ascii="Verdana" w:eastAsia="Times New Roman" w:hAnsi="Verdana" w:cs="Times New Roman"/>
                <w:b/>
                <w:bCs/>
                <w:color w:val="000000"/>
                <w:sz w:val="16"/>
                <w:szCs w:val="16"/>
                <w:lang w:eastAsia="ro-RO"/>
              </w:rPr>
            </w:pPr>
            <w:r w:rsidRPr="00DA2565">
              <w:rPr>
                <w:rFonts w:ascii="Verdana" w:eastAsia="Times New Roman" w:hAnsi="Verdana" w:cs="Times New Roman"/>
                <w:b/>
                <w:bCs/>
                <w:color w:val="000000"/>
                <w:sz w:val="16"/>
                <w:szCs w:val="16"/>
                <w:lang w:eastAsia="ro-RO"/>
              </w:rPr>
              <w:t>ROBERT-MARIUS CAZANCIUC</w:t>
            </w:r>
          </w:p>
          <w:p w:rsidR="00DA2565" w:rsidRPr="00DA2565" w:rsidRDefault="00DA2565" w:rsidP="00DA2565">
            <w:pPr>
              <w:spacing w:after="0" w:line="15" w:lineRule="atLeast"/>
              <w:jc w:val="center"/>
              <w:rPr>
                <w:rFonts w:ascii="Verdana" w:eastAsia="Times New Roman" w:hAnsi="Verdana" w:cs="Times New Roman"/>
                <w:color w:val="000000"/>
                <w:sz w:val="16"/>
                <w:szCs w:val="16"/>
                <w:lang w:eastAsia="ro-RO"/>
              </w:rPr>
            </w:pPr>
          </w:p>
        </w:tc>
      </w:tr>
    </w:tbl>
    <w:p w:rsidR="00DA2565" w:rsidRPr="00DA2565" w:rsidRDefault="00DA2565" w:rsidP="00DA2565">
      <w:pPr>
        <w:shd w:val="clear" w:color="auto" w:fill="FFFFFF"/>
        <w:spacing w:after="0" w:line="240" w:lineRule="auto"/>
        <w:jc w:val="both"/>
        <w:rPr>
          <w:rFonts w:ascii="Verdana" w:eastAsia="Times New Roman" w:hAnsi="Verdana" w:cs="Times New Roman"/>
          <w:lang w:eastAsia="ro-RO"/>
        </w:rPr>
      </w:pPr>
      <w:bookmarkStart w:id="19" w:name="do|pa5"/>
      <w:bookmarkEnd w:id="19"/>
      <w:r w:rsidRPr="00DA2565">
        <w:rPr>
          <w:rFonts w:ascii="Verdana" w:eastAsia="Times New Roman" w:hAnsi="Verdana" w:cs="Times New Roman"/>
          <w:lang w:eastAsia="ro-RO"/>
        </w:rPr>
        <w:t>Publicat în Monitorul Oficial cu numărul 1018 din data de 2 noiembrie 2020</w:t>
      </w:r>
    </w:p>
    <w:p w:rsidR="00033FD1" w:rsidRDefault="00033FD1"/>
    <w:sectPr w:rsidR="0003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65"/>
    <w:rsid w:val="00033FD1"/>
    <w:rsid w:val="00DA25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A2565"/>
    <w:rPr>
      <w:b/>
      <w:bCs/>
      <w:color w:val="333399"/>
      <w:u w:val="single"/>
    </w:rPr>
  </w:style>
  <w:style w:type="character" w:customStyle="1" w:styleId="do1">
    <w:name w:val="do1"/>
    <w:basedOn w:val="Fontdeparagrafimplicit"/>
    <w:rsid w:val="00DA2565"/>
    <w:rPr>
      <w:b/>
      <w:bCs/>
      <w:sz w:val="26"/>
      <w:szCs w:val="26"/>
    </w:rPr>
  </w:style>
  <w:style w:type="character" w:customStyle="1" w:styleId="tpa1">
    <w:name w:val="tpa1"/>
    <w:basedOn w:val="Fontdeparagrafimplicit"/>
    <w:rsid w:val="00DA2565"/>
  </w:style>
  <w:style w:type="character" w:customStyle="1" w:styleId="ar1">
    <w:name w:val="ar1"/>
    <w:basedOn w:val="Fontdeparagrafimplicit"/>
    <w:rsid w:val="00DA2565"/>
    <w:rPr>
      <w:b/>
      <w:bCs/>
      <w:color w:val="0000AF"/>
      <w:sz w:val="22"/>
      <w:szCs w:val="22"/>
    </w:rPr>
  </w:style>
  <w:style w:type="character" w:customStyle="1" w:styleId="pt1">
    <w:name w:val="pt1"/>
    <w:basedOn w:val="Fontdeparagrafimplicit"/>
    <w:rsid w:val="00DA2565"/>
    <w:rPr>
      <w:b/>
      <w:bCs/>
      <w:color w:val="8F0000"/>
    </w:rPr>
  </w:style>
  <w:style w:type="character" w:customStyle="1" w:styleId="tpt1">
    <w:name w:val="tpt1"/>
    <w:basedOn w:val="Fontdeparagrafimplicit"/>
    <w:rsid w:val="00DA2565"/>
  </w:style>
  <w:style w:type="paragraph" w:styleId="TextnBalon">
    <w:name w:val="Balloon Text"/>
    <w:basedOn w:val="Normal"/>
    <w:link w:val="TextnBalonCaracter"/>
    <w:uiPriority w:val="99"/>
    <w:semiHidden/>
    <w:unhideWhenUsed/>
    <w:rsid w:val="00DA25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2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DA2565"/>
    <w:rPr>
      <w:b/>
      <w:bCs/>
      <w:color w:val="333399"/>
      <w:u w:val="single"/>
    </w:rPr>
  </w:style>
  <w:style w:type="character" w:customStyle="1" w:styleId="do1">
    <w:name w:val="do1"/>
    <w:basedOn w:val="Fontdeparagrafimplicit"/>
    <w:rsid w:val="00DA2565"/>
    <w:rPr>
      <w:b/>
      <w:bCs/>
      <w:sz w:val="26"/>
      <w:szCs w:val="26"/>
    </w:rPr>
  </w:style>
  <w:style w:type="character" w:customStyle="1" w:styleId="tpa1">
    <w:name w:val="tpa1"/>
    <w:basedOn w:val="Fontdeparagrafimplicit"/>
    <w:rsid w:val="00DA2565"/>
  </w:style>
  <w:style w:type="character" w:customStyle="1" w:styleId="ar1">
    <w:name w:val="ar1"/>
    <w:basedOn w:val="Fontdeparagrafimplicit"/>
    <w:rsid w:val="00DA2565"/>
    <w:rPr>
      <w:b/>
      <w:bCs/>
      <w:color w:val="0000AF"/>
      <w:sz w:val="22"/>
      <w:szCs w:val="22"/>
    </w:rPr>
  </w:style>
  <w:style w:type="character" w:customStyle="1" w:styleId="pt1">
    <w:name w:val="pt1"/>
    <w:basedOn w:val="Fontdeparagrafimplicit"/>
    <w:rsid w:val="00DA2565"/>
    <w:rPr>
      <w:b/>
      <w:bCs/>
      <w:color w:val="8F0000"/>
    </w:rPr>
  </w:style>
  <w:style w:type="character" w:customStyle="1" w:styleId="tpt1">
    <w:name w:val="tpt1"/>
    <w:basedOn w:val="Fontdeparagrafimplicit"/>
    <w:rsid w:val="00DA2565"/>
  </w:style>
  <w:style w:type="paragraph" w:styleId="TextnBalon">
    <w:name w:val="Balloon Text"/>
    <w:basedOn w:val="Normal"/>
    <w:link w:val="TextnBalonCaracter"/>
    <w:uiPriority w:val="99"/>
    <w:semiHidden/>
    <w:unhideWhenUsed/>
    <w:rsid w:val="00DA25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2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22828">
      <w:bodyDiv w:val="1"/>
      <w:marLeft w:val="0"/>
      <w:marRight w:val="0"/>
      <w:marTop w:val="0"/>
      <w:marBottom w:val="0"/>
      <w:divBdr>
        <w:top w:val="none" w:sz="0" w:space="0" w:color="auto"/>
        <w:left w:val="none" w:sz="0" w:space="0" w:color="auto"/>
        <w:bottom w:val="none" w:sz="0" w:space="0" w:color="auto"/>
        <w:right w:val="none" w:sz="0" w:space="0" w:color="auto"/>
      </w:divBdr>
      <w:divsChild>
        <w:div w:id="503937078">
          <w:marLeft w:val="0"/>
          <w:marRight w:val="0"/>
          <w:marTop w:val="0"/>
          <w:marBottom w:val="0"/>
          <w:divBdr>
            <w:top w:val="none" w:sz="0" w:space="0" w:color="auto"/>
            <w:left w:val="none" w:sz="0" w:space="0" w:color="auto"/>
            <w:bottom w:val="none" w:sz="0" w:space="0" w:color="auto"/>
            <w:right w:val="none" w:sz="0" w:space="0" w:color="auto"/>
          </w:divBdr>
          <w:divsChild>
            <w:div w:id="106514039">
              <w:marLeft w:val="0"/>
              <w:marRight w:val="0"/>
              <w:marTop w:val="0"/>
              <w:marBottom w:val="0"/>
              <w:divBdr>
                <w:top w:val="dashed" w:sz="2" w:space="0" w:color="FFFFFF"/>
                <w:left w:val="dashed" w:sz="2" w:space="0" w:color="FFFFFF"/>
                <w:bottom w:val="dashed" w:sz="2" w:space="0" w:color="FFFFFF"/>
                <w:right w:val="dashed" w:sz="2" w:space="0" w:color="FFFFFF"/>
              </w:divBdr>
            </w:div>
            <w:div w:id="812599906">
              <w:marLeft w:val="0"/>
              <w:marRight w:val="0"/>
              <w:marTop w:val="0"/>
              <w:marBottom w:val="0"/>
              <w:divBdr>
                <w:top w:val="dashed" w:sz="2" w:space="0" w:color="FFFFFF"/>
                <w:left w:val="dashed" w:sz="2" w:space="0" w:color="FFFFFF"/>
                <w:bottom w:val="dashed" w:sz="2" w:space="0" w:color="FFFFFF"/>
                <w:right w:val="dashed" w:sz="2" w:space="0" w:color="FFFFFF"/>
              </w:divBdr>
              <w:divsChild>
                <w:div w:id="1833251001">
                  <w:marLeft w:val="0"/>
                  <w:marRight w:val="0"/>
                  <w:marTop w:val="0"/>
                  <w:marBottom w:val="0"/>
                  <w:divBdr>
                    <w:top w:val="dashed" w:sz="2" w:space="0" w:color="FFFFFF"/>
                    <w:left w:val="dashed" w:sz="2" w:space="0" w:color="FFFFFF"/>
                    <w:bottom w:val="dashed" w:sz="2" w:space="0" w:color="FFFFFF"/>
                    <w:right w:val="dashed" w:sz="2" w:space="0" w:color="FFFFFF"/>
                  </w:divBdr>
                </w:div>
                <w:div w:id="1162502407">
                  <w:marLeft w:val="0"/>
                  <w:marRight w:val="0"/>
                  <w:marTop w:val="0"/>
                  <w:marBottom w:val="0"/>
                  <w:divBdr>
                    <w:top w:val="dashed" w:sz="2" w:space="0" w:color="FFFFFF"/>
                    <w:left w:val="dashed" w:sz="2" w:space="0" w:color="FFFFFF"/>
                    <w:bottom w:val="dashed" w:sz="2" w:space="0" w:color="FFFFFF"/>
                    <w:right w:val="dashed" w:sz="2" w:space="0" w:color="FFFFFF"/>
                  </w:divBdr>
                </w:div>
                <w:div w:id="1716196498">
                  <w:marLeft w:val="0"/>
                  <w:marRight w:val="0"/>
                  <w:marTop w:val="0"/>
                  <w:marBottom w:val="0"/>
                  <w:divBdr>
                    <w:top w:val="dashed" w:sz="2" w:space="0" w:color="FFFFFF"/>
                    <w:left w:val="dashed" w:sz="2" w:space="0" w:color="FFFFFF"/>
                    <w:bottom w:val="dashed" w:sz="2" w:space="0" w:color="FFFFFF"/>
                    <w:right w:val="dashed" w:sz="2" w:space="0" w:color="FFFFFF"/>
                  </w:divBdr>
                  <w:divsChild>
                    <w:div w:id="1749500043">
                      <w:marLeft w:val="0"/>
                      <w:marRight w:val="0"/>
                      <w:marTop w:val="0"/>
                      <w:marBottom w:val="0"/>
                      <w:divBdr>
                        <w:top w:val="dashed" w:sz="2" w:space="0" w:color="FFFFFF"/>
                        <w:left w:val="dashed" w:sz="2" w:space="0" w:color="FFFFFF"/>
                        <w:bottom w:val="dashed" w:sz="2" w:space="0" w:color="FFFFFF"/>
                        <w:right w:val="dashed" w:sz="2" w:space="0" w:color="FFFFFF"/>
                      </w:divBdr>
                    </w:div>
                    <w:div w:id="574626816">
                      <w:marLeft w:val="0"/>
                      <w:marRight w:val="0"/>
                      <w:marTop w:val="0"/>
                      <w:marBottom w:val="0"/>
                      <w:divBdr>
                        <w:top w:val="dashed" w:sz="2" w:space="0" w:color="FFFFFF"/>
                        <w:left w:val="dashed" w:sz="2" w:space="0" w:color="FFFFFF"/>
                        <w:bottom w:val="dashed" w:sz="2" w:space="0" w:color="FFFFFF"/>
                        <w:right w:val="dashed" w:sz="2" w:space="0" w:color="FFFFFF"/>
                      </w:divBdr>
                    </w:div>
                    <w:div w:id="1722168616">
                      <w:marLeft w:val="0"/>
                      <w:marRight w:val="0"/>
                      <w:marTop w:val="0"/>
                      <w:marBottom w:val="0"/>
                      <w:divBdr>
                        <w:top w:val="dashed" w:sz="2" w:space="0" w:color="FFFFFF"/>
                        <w:left w:val="dashed" w:sz="2" w:space="0" w:color="FFFFFF"/>
                        <w:bottom w:val="dashed" w:sz="2" w:space="0" w:color="FFFFFF"/>
                        <w:right w:val="dashed" w:sz="2" w:space="0" w:color="FFFFFF"/>
                      </w:divBdr>
                      <w:divsChild>
                        <w:div w:id="1317223903">
                          <w:marLeft w:val="0"/>
                          <w:marRight w:val="0"/>
                          <w:marTop w:val="0"/>
                          <w:marBottom w:val="0"/>
                          <w:divBdr>
                            <w:top w:val="dashed" w:sz="2" w:space="0" w:color="FFFFFF"/>
                            <w:left w:val="dashed" w:sz="2" w:space="0" w:color="FFFFFF"/>
                            <w:bottom w:val="dashed" w:sz="2" w:space="0" w:color="FFFFFF"/>
                            <w:right w:val="dashed" w:sz="2" w:space="0" w:color="FFFFFF"/>
                          </w:divBdr>
                        </w:div>
                        <w:div w:id="639501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767292">
                      <w:marLeft w:val="0"/>
                      <w:marRight w:val="0"/>
                      <w:marTop w:val="0"/>
                      <w:marBottom w:val="0"/>
                      <w:divBdr>
                        <w:top w:val="dashed" w:sz="2" w:space="0" w:color="FFFFFF"/>
                        <w:left w:val="dashed" w:sz="2" w:space="0" w:color="FFFFFF"/>
                        <w:bottom w:val="dashed" w:sz="2" w:space="0" w:color="FFFFFF"/>
                        <w:right w:val="dashed" w:sz="2" w:space="0" w:color="FFFFFF"/>
                      </w:divBdr>
                    </w:div>
                    <w:div w:id="1318336375">
                      <w:marLeft w:val="0"/>
                      <w:marRight w:val="0"/>
                      <w:marTop w:val="0"/>
                      <w:marBottom w:val="0"/>
                      <w:divBdr>
                        <w:top w:val="dashed" w:sz="2" w:space="0" w:color="FFFFFF"/>
                        <w:left w:val="dashed" w:sz="2" w:space="0" w:color="FFFFFF"/>
                        <w:bottom w:val="dashed" w:sz="2" w:space="0" w:color="FFFFFF"/>
                        <w:right w:val="dashed" w:sz="2" w:space="0" w:color="FFFFFF"/>
                      </w:divBdr>
                      <w:divsChild>
                        <w:div w:id="1365640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155642">
                      <w:marLeft w:val="0"/>
                      <w:marRight w:val="0"/>
                      <w:marTop w:val="0"/>
                      <w:marBottom w:val="0"/>
                      <w:divBdr>
                        <w:top w:val="dashed" w:sz="2" w:space="0" w:color="FFFFFF"/>
                        <w:left w:val="dashed" w:sz="2" w:space="0" w:color="FFFFFF"/>
                        <w:bottom w:val="dashed" w:sz="2" w:space="0" w:color="FFFFFF"/>
                        <w:right w:val="dashed" w:sz="2" w:space="0" w:color="FFFFFF"/>
                      </w:divBdr>
                    </w:div>
                    <w:div w:id="1035080435">
                      <w:marLeft w:val="0"/>
                      <w:marRight w:val="0"/>
                      <w:marTop w:val="0"/>
                      <w:marBottom w:val="0"/>
                      <w:divBdr>
                        <w:top w:val="dashed" w:sz="2" w:space="0" w:color="FFFFFF"/>
                        <w:left w:val="dashed" w:sz="2" w:space="0" w:color="FFFFFF"/>
                        <w:bottom w:val="dashed" w:sz="2" w:space="0" w:color="FFFFFF"/>
                        <w:right w:val="dashed" w:sz="2" w:space="0" w:color="FFFFFF"/>
                      </w:divBdr>
                      <w:divsChild>
                        <w:div w:id="1276516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60165">
                      <w:marLeft w:val="0"/>
                      <w:marRight w:val="0"/>
                      <w:marTop w:val="0"/>
                      <w:marBottom w:val="0"/>
                      <w:divBdr>
                        <w:top w:val="dashed" w:sz="2" w:space="0" w:color="FFFFFF"/>
                        <w:left w:val="dashed" w:sz="2" w:space="0" w:color="FFFFFF"/>
                        <w:bottom w:val="dashed" w:sz="2" w:space="0" w:color="FFFFFF"/>
                        <w:right w:val="dashed" w:sz="2" w:space="0" w:color="FFFFFF"/>
                      </w:divBdr>
                    </w:div>
                    <w:div w:id="1550385844">
                      <w:marLeft w:val="0"/>
                      <w:marRight w:val="0"/>
                      <w:marTop w:val="0"/>
                      <w:marBottom w:val="0"/>
                      <w:divBdr>
                        <w:top w:val="dashed" w:sz="2" w:space="0" w:color="FFFFFF"/>
                        <w:left w:val="dashed" w:sz="2" w:space="0" w:color="FFFFFF"/>
                        <w:bottom w:val="dashed" w:sz="2" w:space="0" w:color="FFFFFF"/>
                        <w:right w:val="dashed" w:sz="2" w:space="0" w:color="FFFFFF"/>
                      </w:divBdr>
                      <w:divsChild>
                        <w:div w:id="1705904285">
                          <w:marLeft w:val="0"/>
                          <w:marRight w:val="0"/>
                          <w:marTop w:val="0"/>
                          <w:marBottom w:val="0"/>
                          <w:divBdr>
                            <w:top w:val="dashed" w:sz="2" w:space="0" w:color="FFFFFF"/>
                            <w:left w:val="dashed" w:sz="2" w:space="0" w:color="FFFFFF"/>
                            <w:bottom w:val="dashed" w:sz="2" w:space="0" w:color="FFFFFF"/>
                            <w:right w:val="dashed" w:sz="2" w:space="0" w:color="FFFFFF"/>
                          </w:divBdr>
                        </w:div>
                        <w:div w:id="1834639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537295">
                      <w:marLeft w:val="0"/>
                      <w:marRight w:val="0"/>
                      <w:marTop w:val="0"/>
                      <w:marBottom w:val="0"/>
                      <w:divBdr>
                        <w:top w:val="dashed" w:sz="2" w:space="0" w:color="FFFFFF"/>
                        <w:left w:val="dashed" w:sz="2" w:space="0" w:color="FFFFFF"/>
                        <w:bottom w:val="dashed" w:sz="2" w:space="0" w:color="FFFFFF"/>
                        <w:right w:val="dashed" w:sz="2" w:space="0" w:color="FFFFFF"/>
                      </w:divBdr>
                    </w:div>
                    <w:div w:id="1341422031">
                      <w:marLeft w:val="0"/>
                      <w:marRight w:val="0"/>
                      <w:marTop w:val="0"/>
                      <w:marBottom w:val="0"/>
                      <w:divBdr>
                        <w:top w:val="dashed" w:sz="2" w:space="0" w:color="FFFFFF"/>
                        <w:left w:val="dashed" w:sz="2" w:space="0" w:color="FFFFFF"/>
                        <w:bottom w:val="dashed" w:sz="2" w:space="0" w:color="FFFFFF"/>
                        <w:right w:val="dashed" w:sz="2" w:space="0" w:color="FFFFFF"/>
                      </w:divBdr>
                      <w:divsChild>
                        <w:div w:id="148643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100013">
                      <w:marLeft w:val="0"/>
                      <w:marRight w:val="0"/>
                      <w:marTop w:val="0"/>
                      <w:marBottom w:val="0"/>
                      <w:divBdr>
                        <w:top w:val="dashed" w:sz="2" w:space="0" w:color="FFFFFF"/>
                        <w:left w:val="dashed" w:sz="2" w:space="0" w:color="FFFFFF"/>
                        <w:bottom w:val="dashed" w:sz="2" w:space="0" w:color="FFFFFF"/>
                        <w:right w:val="dashed" w:sz="2" w:space="0" w:color="FFFFFF"/>
                      </w:divBdr>
                    </w:div>
                    <w:div w:id="44112779">
                      <w:marLeft w:val="0"/>
                      <w:marRight w:val="0"/>
                      <w:marTop w:val="0"/>
                      <w:marBottom w:val="0"/>
                      <w:divBdr>
                        <w:top w:val="dashed" w:sz="2" w:space="0" w:color="FFFFFF"/>
                        <w:left w:val="dashed" w:sz="2" w:space="0" w:color="FFFFFF"/>
                        <w:bottom w:val="dashed" w:sz="2" w:space="0" w:color="FFFFFF"/>
                        <w:right w:val="dashed" w:sz="2" w:space="0" w:color="FFFFFF"/>
                      </w:divBdr>
                      <w:divsChild>
                        <w:div w:id="762608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948027">
                      <w:marLeft w:val="0"/>
                      <w:marRight w:val="0"/>
                      <w:marTop w:val="0"/>
                      <w:marBottom w:val="0"/>
                      <w:divBdr>
                        <w:top w:val="dashed" w:sz="2" w:space="0" w:color="FFFFFF"/>
                        <w:left w:val="dashed" w:sz="2" w:space="0" w:color="FFFFFF"/>
                        <w:bottom w:val="dashed" w:sz="2" w:space="0" w:color="FFFFFF"/>
                        <w:right w:val="dashed" w:sz="2" w:space="0" w:color="FFFFFF"/>
                      </w:divBdr>
                    </w:div>
                    <w:div w:id="1045759942">
                      <w:marLeft w:val="0"/>
                      <w:marRight w:val="0"/>
                      <w:marTop w:val="0"/>
                      <w:marBottom w:val="0"/>
                      <w:divBdr>
                        <w:top w:val="dashed" w:sz="2" w:space="0" w:color="FFFFFF"/>
                        <w:left w:val="dashed" w:sz="2" w:space="0" w:color="FFFFFF"/>
                        <w:bottom w:val="dashed" w:sz="2" w:space="0" w:color="FFFFFF"/>
                        <w:right w:val="dashed" w:sz="2" w:space="0" w:color="FFFFFF"/>
                      </w:divBdr>
                      <w:divsChild>
                        <w:div w:id="160919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552919">
                      <w:marLeft w:val="0"/>
                      <w:marRight w:val="0"/>
                      <w:marTop w:val="0"/>
                      <w:marBottom w:val="0"/>
                      <w:divBdr>
                        <w:top w:val="dashed" w:sz="2" w:space="0" w:color="FFFFFF"/>
                        <w:left w:val="dashed" w:sz="2" w:space="0" w:color="FFFFFF"/>
                        <w:bottom w:val="dashed" w:sz="2" w:space="0" w:color="FFFFFF"/>
                        <w:right w:val="dashed" w:sz="2" w:space="0" w:color="FFFFFF"/>
                      </w:divBdr>
                    </w:div>
                    <w:div w:id="1404183466">
                      <w:marLeft w:val="0"/>
                      <w:marRight w:val="0"/>
                      <w:marTop w:val="0"/>
                      <w:marBottom w:val="0"/>
                      <w:divBdr>
                        <w:top w:val="dashed" w:sz="2" w:space="0" w:color="FFFFFF"/>
                        <w:left w:val="dashed" w:sz="2" w:space="0" w:color="FFFFFF"/>
                        <w:bottom w:val="dashed" w:sz="2" w:space="0" w:color="FFFFFF"/>
                        <w:right w:val="dashed" w:sz="2" w:space="0" w:color="FFFFFF"/>
                      </w:divBdr>
                    </w:div>
                    <w:div w:id="1206060115">
                      <w:marLeft w:val="0"/>
                      <w:marRight w:val="0"/>
                      <w:marTop w:val="0"/>
                      <w:marBottom w:val="0"/>
                      <w:divBdr>
                        <w:top w:val="dashed" w:sz="2" w:space="0" w:color="FFFFFF"/>
                        <w:left w:val="dashed" w:sz="2" w:space="0" w:color="FFFFFF"/>
                        <w:bottom w:val="dashed" w:sz="2" w:space="0" w:color="FFFFFF"/>
                        <w:right w:val="dashed" w:sz="2" w:space="0" w:color="FFFFFF"/>
                      </w:divBdr>
                    </w:div>
                    <w:div w:id="684399527">
                      <w:marLeft w:val="0"/>
                      <w:marRight w:val="0"/>
                      <w:marTop w:val="0"/>
                      <w:marBottom w:val="0"/>
                      <w:divBdr>
                        <w:top w:val="dashed" w:sz="2" w:space="0" w:color="FFFFFF"/>
                        <w:left w:val="dashed" w:sz="2" w:space="0" w:color="FFFFFF"/>
                        <w:bottom w:val="dashed" w:sz="2" w:space="0" w:color="FFFFFF"/>
                        <w:right w:val="dashed" w:sz="2" w:space="0" w:color="FFFFFF"/>
                      </w:divBdr>
                      <w:divsChild>
                        <w:div w:id="1957783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0193267">
                  <w:marLeft w:val="0"/>
                  <w:marRight w:val="0"/>
                  <w:marTop w:val="0"/>
                  <w:marBottom w:val="0"/>
                  <w:divBdr>
                    <w:top w:val="dashed" w:sz="2" w:space="0" w:color="FFFFFF"/>
                    <w:left w:val="dashed" w:sz="2" w:space="0" w:color="FFFFFF"/>
                    <w:bottom w:val="dashed" w:sz="2" w:space="0" w:color="FFFFFF"/>
                    <w:right w:val="dashed" w:sz="2" w:space="0" w:color="FFFFFF"/>
                  </w:divBdr>
                </w:div>
                <w:div w:id="1798445889">
                  <w:marLeft w:val="0"/>
                  <w:marRight w:val="0"/>
                  <w:marTop w:val="0"/>
                  <w:marBottom w:val="0"/>
                  <w:divBdr>
                    <w:top w:val="dashed" w:sz="2" w:space="0" w:color="FFFFFF"/>
                    <w:left w:val="dashed" w:sz="2" w:space="0" w:color="FFFFFF"/>
                    <w:bottom w:val="dashed" w:sz="2" w:space="0" w:color="FFFFFF"/>
                    <w:right w:val="dashed" w:sz="2" w:space="0" w:color="FFFFFF"/>
                  </w:divBdr>
                  <w:divsChild>
                    <w:div w:id="186177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371861">
                  <w:marLeft w:val="0"/>
                  <w:marRight w:val="0"/>
                  <w:marTop w:val="0"/>
                  <w:marBottom w:val="0"/>
                  <w:divBdr>
                    <w:top w:val="dashed" w:sz="2" w:space="0" w:color="FFFFFF"/>
                    <w:left w:val="dashed" w:sz="2" w:space="0" w:color="FFFFFF"/>
                    <w:bottom w:val="dashed" w:sz="2" w:space="0" w:color="FFFFFF"/>
                    <w:right w:val="dashed" w:sz="2" w:space="0" w:color="FFFFFF"/>
                  </w:divBdr>
                </w:div>
                <w:div w:id="340859272">
                  <w:marLeft w:val="0"/>
                  <w:marRight w:val="0"/>
                  <w:marTop w:val="0"/>
                  <w:marBottom w:val="0"/>
                  <w:divBdr>
                    <w:top w:val="dashed" w:sz="2" w:space="0" w:color="FFFFFF"/>
                    <w:left w:val="dashed" w:sz="2" w:space="0" w:color="FFFFFF"/>
                    <w:bottom w:val="dashed" w:sz="2" w:space="0" w:color="FFFFFF"/>
                    <w:right w:val="dashed" w:sz="2" w:space="0" w:color="FFFFFF"/>
                  </w:divBdr>
                  <w:divsChild>
                    <w:div w:id="374158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79769">
                  <w:marLeft w:val="0"/>
                  <w:marRight w:val="0"/>
                  <w:marTop w:val="0"/>
                  <w:marBottom w:val="0"/>
                  <w:divBdr>
                    <w:top w:val="dashed" w:sz="2" w:space="0" w:color="FFFFFF"/>
                    <w:left w:val="dashed" w:sz="2" w:space="0" w:color="FFFFFF"/>
                    <w:bottom w:val="dashed" w:sz="2" w:space="0" w:color="FFFFFF"/>
                    <w:right w:val="dashed" w:sz="2" w:space="0" w:color="FFFFFF"/>
                  </w:divBdr>
                </w:div>
                <w:div w:id="474831294">
                  <w:marLeft w:val="0"/>
                  <w:marRight w:val="0"/>
                  <w:marTop w:val="0"/>
                  <w:marBottom w:val="0"/>
                  <w:divBdr>
                    <w:top w:val="dashed" w:sz="2" w:space="0" w:color="FFFFFF"/>
                    <w:left w:val="dashed" w:sz="2" w:space="0" w:color="FFFFFF"/>
                    <w:bottom w:val="dashed" w:sz="2" w:space="0" w:color="FFFFFF"/>
                    <w:right w:val="dashed" w:sz="2" w:space="0" w:color="FFFFFF"/>
                  </w:divBdr>
                </w:div>
                <w:div w:id="1016006185">
                  <w:marLeft w:val="0"/>
                  <w:marRight w:val="0"/>
                  <w:marTop w:val="0"/>
                  <w:marBottom w:val="0"/>
                  <w:divBdr>
                    <w:top w:val="dashed" w:sz="2" w:space="0" w:color="FFFFFF"/>
                    <w:left w:val="dashed" w:sz="2" w:space="0" w:color="FFFFFF"/>
                    <w:bottom w:val="dashed" w:sz="2" w:space="0" w:color="FFFFFF"/>
                    <w:right w:val="dashed" w:sz="2" w:space="0" w:color="FFFFFF"/>
                  </w:divBdr>
                </w:div>
                <w:div w:id="1785227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3828\0007866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sintact%204.0\cache\Legislatie\temp263828\00078665.htm" TargetMode="External"/><Relationship Id="rId12" Type="http://schemas.openxmlformats.org/officeDocument/2006/relationships/hyperlink" Target="file:///C:\Users\user\sintact%204.0\cache\Legislatie\temp263828\0006839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sintact%204.0\cache\Legislatie\temp263828\00078665.htm" TargetMode="External"/><Relationship Id="rId11" Type="http://schemas.openxmlformats.org/officeDocument/2006/relationships/hyperlink" Target="file:///C:\Users\user\sintact%204.0\cache\Legislatie\temp263828\00078665.htm" TargetMode="External"/><Relationship Id="rId5" Type="http://schemas.openxmlformats.org/officeDocument/2006/relationships/hyperlink" Target="file:///C:\Users\user\sintact%204.0\cache\Legislatie\temp263828\00078665.htm" TargetMode="External"/><Relationship Id="rId10" Type="http://schemas.openxmlformats.org/officeDocument/2006/relationships/hyperlink" Target="file:///C:\Users\user\sintact%204.0\cache\Legislatie\temp263828\00169830.htm" TargetMode="External"/><Relationship Id="rId4" Type="http://schemas.openxmlformats.org/officeDocument/2006/relationships/webSettings" Target="webSettings.xml"/><Relationship Id="rId9" Type="http://schemas.openxmlformats.org/officeDocument/2006/relationships/hyperlink" Target="file:///C:\Users\user\sintact%204.0\cache\Legislatie\temp263828\00169829.ht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4102</Characters>
  <Application>Microsoft Office Word</Application>
  <DocSecurity>0</DocSecurity>
  <Lines>34</Lines>
  <Paragraphs>9</Paragraphs>
  <ScaleCrop>false</ScaleCrop>
  <Company>ONRC</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vlad.puscasiu</dc:creator>
  <cp:lastModifiedBy>vlad.puscasiu</cp:lastModifiedBy>
  <cp:revision>1</cp:revision>
  <dcterms:created xsi:type="dcterms:W3CDTF">2020-11-03T11:23:00Z</dcterms:created>
  <dcterms:modified xsi:type="dcterms:W3CDTF">2020-11-03T11:25:00Z</dcterms:modified>
</cp:coreProperties>
</file>